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2BE" w:rsidRPr="00332B98" w:rsidRDefault="00324C79" w:rsidP="00332B98">
      <w:pPr>
        <w:shd w:val="clear" w:color="auto" w:fill="E5DFEC" w:themeFill="accent4" w:themeFillTint="33"/>
        <w:spacing w:after="0" w:line="240" w:lineRule="auto"/>
        <w:rPr>
          <w:rFonts w:ascii="Sylfaen" w:hAnsi="Sylfaen"/>
          <w:sz w:val="20"/>
          <w:szCs w:val="20"/>
        </w:rPr>
      </w:pPr>
      <w:r w:rsidRPr="00332B98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6755642" cy="686259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321" cy="686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332B98" w:rsidRDefault="003B5FF9" w:rsidP="00332B98">
      <w:pPr>
        <w:spacing w:after="0" w:line="240" w:lineRule="auto"/>
        <w:jc w:val="center"/>
        <w:rPr>
          <w:rFonts w:ascii="Sylfaen" w:hAnsi="Sylfaen"/>
          <w:b/>
          <w:color w:val="943634" w:themeColor="accent2" w:themeShade="BF"/>
          <w:sz w:val="20"/>
          <w:szCs w:val="20"/>
          <w:lang w:val="ka-GE"/>
        </w:rPr>
      </w:pPr>
      <w:r w:rsidRPr="00332B98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831" w:tblpY="485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679"/>
        <w:gridCol w:w="6725"/>
        <w:gridCol w:w="34"/>
      </w:tblGrid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32B98" w:rsidRDefault="00457888" w:rsidP="00332B98">
            <w:pPr>
              <w:spacing w:after="0" w:line="240" w:lineRule="auto"/>
              <w:ind w:right="34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ფრანგული ენა და ლიტერატურა</w:t>
            </w:r>
            <w:r w:rsidR="005A35DA" w:rsidRPr="00332B98">
              <w:rPr>
                <w:rFonts w:ascii="Sylfaen" w:hAnsi="Sylfaen" w:cs="Sylfaen"/>
                <w:bCs/>
                <w:noProof/>
                <w:sz w:val="20"/>
                <w:szCs w:val="20"/>
              </w:rPr>
              <w:t>(</w:t>
            </w:r>
            <w:r w:rsidR="005A35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</w:t>
            </w:r>
            <w:r w:rsidR="00D11F71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მაგისტრო</w:t>
            </w:r>
            <w:r w:rsidR="005A35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პროგრამა)</w:t>
            </w:r>
          </w:p>
          <w:p w:rsidR="00457888" w:rsidRPr="00332B98" w:rsidRDefault="00457888" w:rsidP="00332B98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</w:rPr>
              <w:t xml:space="preserve">French Language and Literature </w:t>
            </w:r>
          </w:p>
        </w:tc>
      </w:tr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332B98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57888" w:rsidRPr="00332B98" w:rsidRDefault="00457888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ჰუმანიტარულ მეცნიერებათა </w:t>
            </w:r>
            <w:r w:rsidR="00C87D28" w:rsidRPr="00332B98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 xml:space="preserve">მაგისტრი </w:t>
            </w:r>
            <w:r w:rsidR="00C87D28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ფრანგულ</w:t>
            </w:r>
            <w:r w:rsidR="00C276BC" w:rsidRPr="00332B98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C87D28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ფილოლოგიაში</w:t>
            </w:r>
          </w:p>
          <w:p w:rsidR="00761D47" w:rsidRPr="00332B98" w:rsidRDefault="00C87D28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MA  in French Philology</w:t>
            </w:r>
          </w:p>
        </w:tc>
      </w:tr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32B98" w:rsidRDefault="00C24552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61D47" w:rsidRPr="00A85E0D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24552" w:rsidRPr="00332B98" w:rsidRDefault="0034158B" w:rsidP="00332B98">
            <w:pPr>
              <w:pStyle w:val="msonormalcxspmiddle"/>
              <w:tabs>
                <w:tab w:val="left" w:pos="284"/>
              </w:tabs>
              <w:spacing w:after="0" w:afterAutospacing="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ზურაბ არჩვაძე,</w:t>
            </w:r>
            <w:r w:rsidR="00C276BC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="00C24552" w:rsidRPr="00332B98">
              <w:rPr>
                <w:rFonts w:ascii="Sylfaen" w:hAnsi="Sylfaen" w:cs="Arial"/>
                <w:sz w:val="20"/>
                <w:szCs w:val="20"/>
                <w:lang w:val="ka-GE"/>
              </w:rPr>
              <w:t>ფილოლოგიის დოქტორი, პროფესორი</w:t>
            </w:r>
          </w:p>
          <w:p w:rsidR="0034158B" w:rsidRPr="00332B98" w:rsidRDefault="0034158B" w:rsidP="00332B98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Arial"/>
                <w:sz w:val="20"/>
                <w:szCs w:val="20"/>
                <w:lang w:val="ka-GE"/>
              </w:rPr>
              <w:t>ტელ: 599 41 25 85 (მობ.)</w:t>
            </w:r>
          </w:p>
          <w:p w:rsidR="00761D47" w:rsidRPr="00332B98" w:rsidRDefault="00C24552" w:rsidP="00332B98">
            <w:pPr>
              <w:pStyle w:val="msonormalcxspmiddle"/>
              <w:tabs>
                <w:tab w:val="left" w:pos="284"/>
              </w:tabs>
              <w:spacing w:before="0" w:beforeAutospacing="0" w:after="0" w:afterAutospacing="0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e-mail: </w:t>
            </w:r>
            <w:hyperlink r:id="rId9" w:history="1">
              <w:r w:rsidR="003958D7" w:rsidRPr="00332B98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zurab.archvadze@atsu.edu.ge</w:t>
              </w:r>
            </w:hyperlink>
          </w:p>
        </w:tc>
      </w:tr>
      <w:tr w:rsidR="00761D47" w:rsidRPr="00332B98" w:rsidTr="00332B98"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332B98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332B98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332B98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332B98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24552" w:rsidRPr="00332B98" w:rsidRDefault="00761D47" w:rsidP="00332B98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435061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332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3958D7" w:rsidRPr="00332B98">
              <w:rPr>
                <w:rFonts w:ascii="Sylfaen" w:hAnsi="Sylfaen"/>
                <w:bCs/>
                <w:sz w:val="20"/>
                <w:szCs w:val="20"/>
              </w:rPr>
              <w:t xml:space="preserve">4 </w:t>
            </w:r>
            <w:r w:rsidR="00C24552" w:rsidRPr="00332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სემესტრი; </w:t>
            </w:r>
          </w:p>
          <w:p w:rsidR="00761D47" w:rsidRPr="00332B98" w:rsidRDefault="00C24552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332B9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მოცელობა - </w:t>
            </w:r>
            <w:r w:rsidR="003958D7" w:rsidRPr="00332B98">
              <w:rPr>
                <w:rFonts w:ascii="Sylfaen" w:hAnsi="Sylfaen"/>
                <w:bCs/>
                <w:sz w:val="20"/>
                <w:szCs w:val="20"/>
              </w:rPr>
              <w:t>120</w:t>
            </w:r>
            <w:r w:rsidR="00761D47"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761D47" w:rsidRPr="00332B98" w:rsidTr="00332B98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332B98" w:rsidRDefault="00260FCC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ქართული ენა</w:t>
            </w:r>
          </w:p>
        </w:tc>
      </w:tr>
      <w:tr w:rsidR="00761D47" w:rsidRPr="00332B98" w:rsidTr="00332B98">
        <w:trPr>
          <w:gridAfter w:val="1"/>
          <w:wAfter w:w="34" w:type="dxa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0CE" w:rsidRDefault="00FF60CE" w:rsidP="00FF60CE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აკრედიტ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 xml:space="preserve">აციის საბჭოს </w:t>
            </w:r>
            <w:proofErr w:type="spellStart"/>
            <w:r>
              <w:rPr>
                <w:rFonts w:ascii="Sylfaen" w:eastAsia="Times New Roma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>
              <w:rPr>
                <w:rFonts w:ascii="Sylfaen" w:eastAsia="Times New Roman" w:hAnsi="Sylfaen" w:cs="Arial"/>
                <w:sz w:val="20"/>
                <w:szCs w:val="20"/>
              </w:rPr>
              <w:t>: №</w:t>
            </w:r>
            <w:r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91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 xml:space="preserve">; </w:t>
            </w:r>
            <w:r w:rsidRPr="00332B98">
              <w:rPr>
                <w:rFonts w:ascii="Sylfaen" w:hAnsi="Sylfaen"/>
                <w:sz w:val="20"/>
                <w:szCs w:val="20"/>
              </w:rPr>
              <w:t>19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. 04. 2012</w:t>
            </w:r>
          </w:p>
          <w:p w:rsidR="00FF60CE" w:rsidRDefault="00FF60CE" w:rsidP="00FF60CE">
            <w:pPr>
              <w:spacing w:after="0" w:line="240" w:lineRule="auto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ფაკულტეტის საბჭოს გადაწყვეტილება </w:t>
            </w:r>
            <w:r w:rsidRPr="00A85E0D">
              <w:rPr>
                <w:rFonts w:ascii="Sylfaen" w:hAnsi="Sylfaen"/>
                <w:sz w:val="20"/>
                <w:szCs w:val="20"/>
                <w:lang w:val="ka-GE"/>
              </w:rPr>
              <w:t xml:space="preserve">ოქმი </w:t>
            </w:r>
            <w:r w:rsidRPr="00A85E0D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A85E0D"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 w:rsidRPr="00A85E0D">
              <w:rPr>
                <w:rFonts w:ascii="Sylfaen" w:hAnsi="Sylfaen"/>
                <w:sz w:val="20"/>
                <w:szCs w:val="20"/>
              </w:rPr>
              <w:t xml:space="preserve"> 1    08.09.20</w:t>
            </w:r>
            <w:r w:rsidRPr="00A85E0D"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</w:p>
          <w:p w:rsidR="00FF60CE" w:rsidRPr="00332B98" w:rsidRDefault="00A85E0D" w:rsidP="00FF60CE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№</w:t>
            </w:r>
            <w:r>
              <w:rPr>
                <w:rFonts w:ascii="Sylfaen" w:hAnsi="Sylfaen"/>
                <w:sz w:val="20"/>
                <w:szCs w:val="20"/>
              </w:rPr>
              <w:t xml:space="preserve"> 1 (21/22) 17.09.21</w:t>
            </w:r>
          </w:p>
        </w:tc>
      </w:tr>
      <w:tr w:rsidR="00761D47" w:rsidRPr="00332B98" w:rsidTr="00332B98">
        <w:tc>
          <w:tcPr>
            <w:tcW w:w="1069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332B98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332B98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332B98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332B98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C307BD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0660" w:rsidRPr="00332B98" w:rsidRDefault="00390660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ბაკალავრის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ხარისხი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ან მასთან გათანაბრებული აკადემიური ხარისხი.</w:t>
            </w:r>
          </w:p>
          <w:p w:rsidR="00390660" w:rsidRPr="00332B98" w:rsidRDefault="00390660" w:rsidP="00332B9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fr-FR"/>
              </w:rPr>
            </w:pP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2</w:t>
            </w:r>
            <w:r w:rsidR="00332B9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ერთიანი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გამოცდების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ჩაბარება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.</w:t>
            </w:r>
          </w:p>
          <w:p w:rsidR="00C307BD" w:rsidRPr="00332B98" w:rsidRDefault="00390660" w:rsidP="00332B9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3.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საუნივერსიტეტო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წერითი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გამოცდის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ტესტირების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)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ჩაბარება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ენ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ს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თეორიასა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და</w:t>
            </w:r>
            <w:proofErr w:type="spellEnd"/>
            <w:r w:rsid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ფრანგულ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ლიტერატურაში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1D47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332B9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C307BD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35DA" w:rsidRPr="00332B98" w:rsidRDefault="00390660" w:rsidP="00332B98">
            <w:pPr>
              <w:spacing w:after="0" w:line="240" w:lineRule="auto"/>
              <w:ind w:firstLine="480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სამაგისტრო პროგრამის მიზანია მოამზადოს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276BC" w:rsidRPr="00332B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ენისა და ლიტერატურის სპეციალისტები, რომელთაც ექნებათ ღრმა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და სისტემური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ცოდნა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C276BC" w:rsidRPr="00332B9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ფილოლოგიაში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.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სამაგისტრო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პროგრამა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უზრუნველყოფს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მაგისტრან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ტთა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პროფესიულ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სპეციალიზაციას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,</w:t>
            </w:r>
            <w:r w:rsidR="00C276BC"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რაც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სრულყოფს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ბაკალავრიატში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შეძენილ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ცოდნას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ზოგად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და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დარგობრივ</w:t>
            </w:r>
            <w:r w:rsidR="00C276BC" w:rsidRPr="00332B98">
              <w:rPr>
                <w:rFonts w:ascii="Sylfaen" w:hAnsi="Sylfaen"/>
                <w:sz w:val="20"/>
                <w:szCs w:val="20"/>
                <w:lang w:val="de-D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კომპეტენციებს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,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საწავლო პროცესი გულისხმობს ფრანგულენოვან კომუნიკაციას, მუშაობას ავთენტურ და კრიტიკულ ტექსტებზე.</w:t>
            </w:r>
            <w:r w:rsidR="00C276BC" w:rsidRPr="00332B9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პროგრამა ასევე ითვალისწინებს სამეცნიერო-კვლევითი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კომპონენტის წილის მნიშვნელოვან ზრდას,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უნარების გაღრმავებას</w:t>
            </w:r>
            <w:r w:rsidR="00C276BC" w:rsidRPr="00332B9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B98">
              <w:rPr>
                <w:rFonts w:ascii="Sylfaen" w:hAnsi="Sylfaen"/>
                <w:sz w:val="20"/>
                <w:szCs w:val="20"/>
                <w:lang w:val="fr-FR"/>
              </w:rPr>
              <w:t>ფილოლოგიაში</w:t>
            </w:r>
            <w:proofErr w:type="spellEnd"/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შემდგომი კვლევისა და პრაქტიკული საქმიანობისათვის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, დარგობრივი და მეცნიერული კომპეტენციების შეძენას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7234BD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ფილოლოგიის ფარგლებში და მეთოდოლოგიურად შემდგომი საფუძვლის შექმნას უმაღლესი განათლების მესამე საფეხურზე-დოქტორანტურაში- სწავლის გასაგრძელებლად.</w:t>
            </w:r>
          </w:p>
        </w:tc>
      </w:tr>
      <w:tr w:rsidR="00761D47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332B9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332B9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761D47" w:rsidRPr="00332B98" w:rsidRDefault="00761D47" w:rsidP="00332B98">
            <w:pPr>
              <w:spacing w:after="0" w:line="240" w:lineRule="auto"/>
              <w:rPr>
                <w:rFonts w:ascii="Sylfaen" w:hAnsi="Sylfaen"/>
                <w:color w:val="943634" w:themeColor="accent2" w:themeShade="BF"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C307BD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3A" w:rsidRPr="00332B98" w:rsidRDefault="00D77FA2" w:rsidP="00332B98">
            <w:pPr>
              <w:spacing w:after="0" w:line="240" w:lineRule="auto"/>
              <w:ind w:left="4"/>
              <w:jc w:val="both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მაგისტრან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ტს  </w:t>
            </w:r>
            <w:r w:rsidR="00640209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აქვს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ღრმა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და სისტემური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ცოდნა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ფილოლოგიაში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: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ენათმეცნიერებაში იგი 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ლინგვისტურ დისციპლინათა პრობლემატიკას (ტექსტის ლინგვისტიკა, ლინგვისტური სტილისტიკა, პრაგმატიკა, სოციოლინგვისტიკა,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F121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ენა)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ინტერდისციპლინარული კვლევის მეთოდებს და ლინგვისტური კვლევის ტექნიკას, 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აქვს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ღრმა, დარგობრივ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="00640209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ცოდნა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ლიტერატურათმცოდნეობაში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თეორიულ-ესთეტიკური და ფილოსოფიური აზროვნების ჭრილში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(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64020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რომანის, დრამის, ლირიკის ისტორიული პოეტიკა), </w:t>
            </w:r>
            <w:r w:rsidR="00502279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დას. ევროპული კრიტიკისა და  ლიტერატურათმცოდნეობითი კვლევის მეთოდებს,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აცნობიერებს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502279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ფილოლოგიაში ცალკეული საენათმეცნიერო თუ ლიტერატურათმცოდნეობითი პრობლემის გადაჭრის გზებს.</w:t>
            </w:r>
          </w:p>
        </w:tc>
      </w:tr>
      <w:tr w:rsidR="00C307BD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ცოდნის პრაქტიკაში გამოყენების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უნარი</w:t>
            </w: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32B98" w:rsidRDefault="00B60F0A" w:rsidP="00332B98">
            <w:pPr>
              <w:spacing w:after="0" w:line="240" w:lineRule="auto"/>
              <w:ind w:firstLine="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ფრანგულ</w:t>
            </w:r>
            <w:r w:rsidR="00CF121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ფილოლოგიაში დარგობრივი და მეცნიერული კომპეტენციების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 xml:space="preserve">შეძენით სტუდენტს </w:t>
            </w:r>
            <w:r w:rsidR="00CF121A" w:rsidRPr="00332B98">
              <w:rPr>
                <w:rFonts w:ascii="Sylfaen" w:hAnsi="Sylfaen"/>
                <w:sz w:val="20"/>
                <w:szCs w:val="20"/>
                <w:lang w:val="ka-GE"/>
              </w:rPr>
              <w:t>აქვს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კოგნიტურ-მეთოდოლოგიური საფუძველი უმაღლესი განათლების მესამე საფეხურზე-დოქტორანტურაში</w:t>
            </w:r>
            <w:r w:rsidR="00CF121A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სწავლის გასაგრძელებლად, ასევე მეცნიერული კომპეტენციებისა და უნარ-ჩვევების გაღრმავებისა და სრულყოფისათვის. ენობრივი კომპეტენციების გაღრმავების საფუძველზე მისი ცოდნა </w:t>
            </w:r>
            <w:r w:rsidR="007234BD" w:rsidRPr="00332B98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სკალირების C პირველ დონის შესატყვისი. </w:t>
            </w:r>
            <w:r w:rsidR="007234BD" w:rsidRPr="00332B98">
              <w:rPr>
                <w:rFonts w:ascii="Sylfaen" w:hAnsi="Sylfaen"/>
                <w:sz w:val="20"/>
                <w:szCs w:val="20"/>
                <w:lang w:val="ka-GE"/>
              </w:rPr>
              <w:t>მაგისტრანტს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შე</w:t>
            </w:r>
            <w:r w:rsidR="007234BD" w:rsidRPr="00332B98">
              <w:rPr>
                <w:rFonts w:ascii="Sylfaen" w:hAnsi="Sylfaen"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რო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მანისტიკაში</w:t>
            </w:r>
            <w:r w:rsidR="00E53D22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(ლინგვისტიკასა და ლიტერატურათმცოდნეობაში) ახალი, ორიგინალური კვლევის დამოუკიდებლად განხორციელება უახლესი მეთოდების გამოყენებით, ასევე სხვადასხვა ეპოქისა და ჟანრის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7C3CA2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ლიტერატურული ტექსტების (რომანი, დრამა, ლირიკა) თეორიულ-პოეტოლოგიური  ანალიზი თანამედროვე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ლიტ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მცოდნეობითი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თეორი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ები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ლიტერატურის კრიტიკის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ა და ფილოსოფიის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საფუძვლების 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გათვალისწინებით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</w:tc>
      </w:tr>
      <w:tr w:rsidR="00C307BD" w:rsidRPr="00332B98" w:rsidTr="00332B98">
        <w:trPr>
          <w:trHeight w:val="175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დასკვნის უნარი</w:t>
            </w:r>
          </w:p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43A" w:rsidRPr="00332B98" w:rsidRDefault="00E53D22" w:rsidP="00332B98">
            <w:pPr>
              <w:spacing w:after="0" w:line="240" w:lineRule="auto"/>
              <w:ind w:firstLine="4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მაგისტრანტ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ი ფლობს</w:t>
            </w:r>
            <w:r w:rsidR="000B6286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რო</w:t>
            </w:r>
            <w:r w:rsidR="000B6286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af-ZA"/>
              </w:rPr>
              <w:t>მანისტიკაში მეცნიერული თეორიების ანალიზის, კრიტიკული შეფასებისა და პოლემიკის, დასაბუთებული დასკვნების გამოტანის უნარს, დამოუკიდებლად მეცნიერული მუშაობისა და კვლევის, კრიტიკული ლიტერატურის  მოძიების უნარ-</w:t>
            </w:r>
            <w:r w:rsidR="000B6286"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ჩვევებს, უახლეს სამეცნიერო მონაცემებზე დაყრდნობით </w:t>
            </w:r>
            <w:r w:rsidR="000B6286" w:rsidRPr="00332B98">
              <w:rPr>
                <w:rFonts w:ascii="Sylfaen" w:hAnsi="Sylfaen"/>
                <w:sz w:val="20"/>
                <w:szCs w:val="20"/>
                <w:lang w:val="ka-GE"/>
              </w:rPr>
              <w:t>რო</w:t>
            </w:r>
            <w:r w:rsidR="000B6286" w:rsidRPr="00332B98">
              <w:rPr>
                <w:rFonts w:ascii="Sylfaen" w:hAnsi="Sylfaen"/>
                <w:sz w:val="20"/>
                <w:szCs w:val="20"/>
                <w:lang w:val="af-ZA"/>
              </w:rPr>
              <w:t>მანისტიკაში ინფორმაციის ინოვაციური სინთეზის უნარს</w:t>
            </w:r>
            <w:r w:rsidR="00E862CA" w:rsidRPr="00332B98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C307BD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332B98" w:rsidRDefault="00C307BD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კომუნიკაციის უნარი</w:t>
            </w: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332B98" w:rsidRDefault="000B6286" w:rsidP="00332B98">
            <w:pPr>
              <w:spacing w:after="0" w:line="240" w:lineRule="auto"/>
              <w:ind w:left="4" w:hanging="4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მაგისტრანტ</w:t>
            </w:r>
            <w:r w:rsidR="00BC26D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="00BC26D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შეუძლია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უცხოურ ენაზე წარმართოს ზეპირი და წერილობითი კომუნიკაცია, დისკუსია, ჩამოაყალიბოს კრიტიკული მოსაზრებები. 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მაგისტრ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ანტი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BC26D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>ფილოლოგიის დისციპლინების უახლეს მეთოდოლოგიასა და ლიტერატურის სამეცნიერო-კვლევით მეთოდებს, შე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მათი პრაქტიკული გამოყენება, სამეცნიერო კონცეფციებისადმი კრიტიკული მიდგომის ჩამოყალიბება. 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მაგისტრანტმა იცის 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>სასწავლო და კვლევითი მუშაობის ორგანიზების სტრატეგიები, შე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მათი დამოუკიდებლად გამოყენება, ასევე შე</w:t>
            </w:r>
            <w:r w:rsidR="00BC26DA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მშობლიურ და უცხოურ ენებზე დარგობრივი საწავლო და სამეცნიერო კომუნიკაცია, </w:t>
            </w:r>
            <w:r w:rsidR="009B715E"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ფლობს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თანამედროვე ინტერდისციპლინარული სამეცნიერო-კვლევით მეთოდიკას და მუშაობის პროცესში თვითშეფასების მეთოდებს. მაგისტრ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ანტი</w:t>
            </w: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fr-FR"/>
              </w:rPr>
              <w:t xml:space="preserve"> ითვალისწინებს აკადემიური პატიოსნების სტანდარტებს და საინფორმაციო-საკომუნიკაციო ტექნოლოგიების მიღწევებს.</w:t>
            </w:r>
          </w:p>
        </w:tc>
      </w:tr>
      <w:tr w:rsidR="009D7832" w:rsidRPr="00332B98" w:rsidTr="00332B98">
        <w:tc>
          <w:tcPr>
            <w:tcW w:w="32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უნარი</w:t>
            </w:r>
          </w:p>
        </w:tc>
        <w:tc>
          <w:tcPr>
            <w:tcW w:w="7438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32B98" w:rsidRDefault="000B6286" w:rsidP="00332B98">
            <w:pPr>
              <w:spacing w:after="0" w:line="240" w:lineRule="auto"/>
              <w:ind w:left="4" w:hanging="4"/>
              <w:jc w:val="both"/>
              <w:rPr>
                <w:rFonts w:ascii="Sylfaen" w:hAnsi="Sylfaen" w:cs="Sylfaen"/>
                <w:noProof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მაგისტრანტს შე</w:t>
            </w:r>
            <w:r w:rsidR="006B65B6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</w:t>
            </w:r>
            <w:r w:rsidR="00CD7B2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ქართულ და უცხოურ ენაზე სწავლის დამოუკიდებლად წარმართვა და კრიტიკული მოსაზრებების ჩამოყალიბება, კვლევის სხვადასხვა მეთოდების გამოყენება ფილოლოგიური ანალიზისას, სამეცნიერო ლიტერატურის კრიტიკული გამოყენება,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D7B2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ფილოლოგიის სფეროში კვლევითი ხასიათის ნაშრომის დაგეგმვა, ზეპირ და წერილობით ფორმაში ჩამოყალიბება და დადგენილი სტანდარტის ფორმით წარმოდგენა, კვლევის შედეგების პრეზენტაცია,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</w:t>
            </w:r>
            <w:r w:rsidR="00CD7B2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ფილოლოგიაში ცალკეული პრობლემის გადაჭრის გზების მოძიება, </w:t>
            </w:r>
            <w:r w:rsidRPr="00332B98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</w:t>
            </w:r>
            <w:r w:rsidR="00CD7B2A" w:rsidRPr="00332B9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ენათმეცნიერული და 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 გადაწყვეტილების მიღება, სასწავლო და სამეცნიერო-კვლევითი მუშაობის პროცესში თვითშეფასების მეთოდიკის გამოყენება.</w:t>
            </w:r>
          </w:p>
        </w:tc>
      </w:tr>
      <w:tr w:rsidR="009D7832" w:rsidRPr="00332B98" w:rsidTr="00332B98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4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32B98" w:rsidRDefault="000B6286" w:rsidP="00332B98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მაგისტრ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ანტს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</w:t>
            </w:r>
            <w:r w:rsidR="00CD7B2A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აქვს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სოციალური და ეთიკური პასუხისმგებლობა, </w:t>
            </w:r>
            <w:r w:rsidR="00CD7B2A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შეუძლია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 სხვათა აზრის გათვალისწინება და პატივისცემა, დამოუკიდებელი სწავლა და კვლევა, ჯგუფური მუშაობა და კვლევითი პრობლემატიკის პროექტირება. მას შე</w:t>
            </w:r>
            <w:r w:rsidR="00703EB0"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უძლია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შეტანა. ამ საკითხში მისთვის განსაკუთრებით ღირებული</w:t>
            </w:r>
            <w:r w:rsidR="00703EB0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 xml:space="preserve">ა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lastRenderedPageBreak/>
              <w:t xml:space="preserve">ჰუმანიზმის ის ტენდენციები, რაც ლიტერატურათმცოდნეობით და სხვა ტიპის დისციპლინების შესწავლის გზით </w:t>
            </w:r>
            <w:r w:rsidR="00703EB0"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შეიძინა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af-ZA"/>
              </w:rPr>
              <w:t>.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სწავლების</w:t>
            </w:r>
            <w:r w:rsid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43A" w:rsidRPr="00332B98" w:rsidRDefault="00AE243A" w:rsidP="00332B98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ლექციასა და პრაქტიკულ მეცადინეობებზე გამოყენებული იქნება ვერბალური მეთოდი, წიგნზე მუშაობისა და დემონსტრირების მეთოდი, დისკუსია-დებატები, ქმედებაზე ორიენტირებული სწავლება, ანალიზისა და სინთეზის მეთოდი,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თანამშრომლობითი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(cooperative)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სწავლება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დავალებაზე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ორიენტირებული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ენის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სწავლება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შერეული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მეთოდი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გრამატიკულ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–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მთარგმნელობითი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მეთოდი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ka-GE"/>
              </w:rPr>
              <w:t xml:space="preserve">პრეზენტაცია,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როლური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და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სიტუაციური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თამაშები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გონებრივი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იერიში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,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ჯგუფური</w:t>
            </w: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 (collaborative)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ru-RU"/>
              </w:rPr>
              <w:t>მუშაობა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  <w:p w:rsidR="00AE243A" w:rsidRPr="00332B98" w:rsidRDefault="00AE243A" w:rsidP="00332B98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 xml:space="preserve">პროგრამის პრიორიტეტული მიმართულებაა ლექციებსა და პრაქტიკულებზე სტუდენტის მაქსიმალური აქტიურობის სტიმულირება, სწავლების პროცესში სტუდენტის შესაძლებლობათა გათვალისწინება და ამავდროულად ამ შესაძლებლობათა სრული რეალიზაციის ხელშეწყობა, რაც უზრუნველყოფს სწავლების მაქსიმალურად მაღალ შედეგებს. </w:t>
            </w:r>
          </w:p>
          <w:p w:rsidR="008F7D5B" w:rsidRPr="00332B98" w:rsidRDefault="00AE243A" w:rsidP="00332B98">
            <w:pPr>
              <w:tabs>
                <w:tab w:val="num" w:pos="1560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</w:pPr>
            <w:r w:rsidRPr="00332B98">
              <w:rPr>
                <w:rFonts w:ascii="Sylfaen" w:hAnsi="Sylfaen" w:cs="Times New Roman"/>
                <w:noProof/>
                <w:sz w:val="20"/>
                <w:szCs w:val="20"/>
                <w:lang w:val="ru-RU"/>
              </w:rPr>
              <w:t>სწავლების, სწავლისა და შეფასების მეთოდები უზრუნველყოფს იმ შედეგების მიღწევას, რომლებიც მოცემულია საგანმანათლებლო პროგრამაში.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5F6" w:rsidRPr="00332B98" w:rsidRDefault="002575F6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საბაკალავრო  პროგრამა მოიცავს სავალდებულო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არჩევითი საგნების მოდულებს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</w:rPr>
              <w:t xml:space="preserve">. </w:t>
            </w: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პროგრამით განსაზღვრული </w:t>
            </w:r>
            <w:r w:rsidR="00BC4E89" w:rsidRPr="00332B98">
              <w:rPr>
                <w:rFonts w:ascii="Sylfaen" w:hAnsi="Sylfaen" w:cs="Sylfaen"/>
                <w:bCs/>
                <w:sz w:val="20"/>
                <w:szCs w:val="20"/>
              </w:rPr>
              <w:t>120</w:t>
            </w:r>
            <w:r w:rsidRPr="00332B9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 ნაწილდება შემდეგნაირად:</w:t>
            </w:r>
          </w:p>
          <w:p w:rsidR="002575F6" w:rsidRPr="00332B98" w:rsidRDefault="002575F6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სავალდებულო კურსები – (1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</w:rPr>
              <w:t>00</w:t>
            </w: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კრედიტი)</w:t>
            </w:r>
          </w:p>
          <w:p w:rsidR="002575F6" w:rsidRPr="00332B98" w:rsidRDefault="002575F6" w:rsidP="00332B98">
            <w:pPr>
              <w:pStyle w:val="listparagraphcxspmiddle"/>
              <w:spacing w:after="0" w:afterAutospacing="0"/>
              <w:contextualSpacing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არჩევითი კურსები – (</w:t>
            </w:r>
            <w:r w:rsidR="00544010"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  <w:r w:rsidR="00BC4E89" w:rsidRPr="00332B98">
              <w:rPr>
                <w:rFonts w:ascii="Sylfaen" w:hAnsi="Sylfaen"/>
                <w:noProof/>
                <w:sz w:val="20"/>
                <w:szCs w:val="20"/>
              </w:rPr>
              <w:t>0</w:t>
            </w: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კრედიტი)</w:t>
            </w:r>
          </w:p>
          <w:p w:rsidR="009D7832" w:rsidRPr="00332B98" w:rsidRDefault="00741BA1" w:rsidP="00332B98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</w:t>
            </w:r>
            <w:r w:rsidR="009D7832"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იხ.დანართი</w:t>
            </w: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1)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სტუდენტთა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მიღწევების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ხდება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საქართველოს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განათლებისა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მეცნიერების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მინისტრის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2007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5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იანვრის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№3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2016 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წლის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18 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აგვისტოს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№102/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  <w:lang w:val="ru-RU"/>
              </w:rPr>
              <w:t>ნ</w:t>
            </w:r>
            <w:r w:rsidRPr="00332B98">
              <w:rPr>
                <w:rFonts w:ascii="Sylfaen" w:hAnsi="Sylfae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ბრძანებებით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განსაზღვრული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პუნქტების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გათვალისწინებით</w:t>
            </w:r>
            <w:r w:rsidRPr="00332B98">
              <w:rPr>
                <w:rFonts w:ascii="Sylfaen" w:hAnsi="Sylfaen" w:cs="Arial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კრედიტის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შესაძლებელია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მხოლოდ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სტუდენტის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მიერ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სილაბუსით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დაგეგმილი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სწავლის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შედეგების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მიღწევის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შემდეგ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რაც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გამოიხატება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მე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-6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პუნქტის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“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ა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”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ქვეპუნქტით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გათვალისწინებული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-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ერთი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დადებითი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ru-RU"/>
              </w:rPr>
              <w:t>შეფასებით</w:t>
            </w:r>
            <w:r w:rsidRPr="00332B98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აკაკი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წერეთლის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სახელმწიფო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უნივერსიტეტში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არსებული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იყოფა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კომპონენტებად</w:t>
            </w:r>
            <w:r w:rsidRPr="00332B9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საგანმანათლებლო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პროგრამის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კომპონენტის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საერთო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ქულიდან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 (100 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ხვედრითი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წილი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რომელიც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თავის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მხრივ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შემდეგი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ფორმებს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აქტივობა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სასწავლო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სემესტრის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განმავლობაში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(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მოიცავს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სხვადასხვა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კომპონენტებს</w:t>
            </w:r>
            <w:r w:rsidRPr="00332B98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30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- 30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-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40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D0C1B" w:rsidRPr="00332B98" w:rsidRDefault="00CD0C1B" w:rsidP="00332B9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დასკვნით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რომელის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შუალედური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კომპონენტებში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მინიმალური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კომპეტენციის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ზღვარი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ჯამურად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შეადგენს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არანაკლებ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18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სისტემა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უშვებს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ხუთი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დადებით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(A)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ფრიადი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91-100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(B)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ძალიან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81-90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(C)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კარგი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71-80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(D)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დამაკმაყოფილებელი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61-70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 (E)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51-60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ორი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სახის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უარყოფით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შეფასებას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(FX)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ვერ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ჩააბარა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41-50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ჩასაბარებლად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მეტი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სჭირდება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ეძლევა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დამოუკიდებელი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მუშაობით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დამატებით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გამოცდაზე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ერთხელ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გასვლის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უფლება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ბ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eastAsia="ru-RU"/>
              </w:rPr>
              <w:t xml:space="preserve"> (F) </w:t>
            </w:r>
            <w:r w:rsidRPr="00332B9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ru-RU" w:eastAsia="ru-RU"/>
              </w:rPr>
              <w:t>ჩაიჭრა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მაქსიმალური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შეფასების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40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ქულა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ნაკლები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რაც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ნიშნავს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რომ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სტუდენტის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მიერ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ჩატარებული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სამუშაო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არის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საკმარისი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და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მას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საგანი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ახლიდან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აქვს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ru-RU" w:eastAsia="ru-RU"/>
              </w:rPr>
              <w:t>შესასწავლი</w:t>
            </w:r>
            <w:r w:rsidRPr="00332B98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eastAsia="ru-RU"/>
              </w:rPr>
            </w:pPr>
          </w:p>
          <w:p w:rsidR="00CD0C1B" w:rsidRPr="00332B98" w:rsidRDefault="00CD0C1B" w:rsidP="00332B98">
            <w:pPr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საგანმანათლებლო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პროგრამის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სასწავლო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კომპონენტში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>, FX-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მიღების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შემთხვევაში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გამოცდა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დაინიშნება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დასკვნითი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გამოცდის</w:t>
            </w: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შედეგების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გამოცხადებიდან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არანაკლებ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5 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val="ru-RU" w:eastAsia="ru-RU"/>
              </w:rPr>
              <w:t>დღეში</w:t>
            </w:r>
            <w:r w:rsidRPr="00332B98">
              <w:rPr>
                <w:rFonts w:ascii="Sylfaen" w:eastAsia="Calibri" w:hAnsi="Sylfaen" w:cs="Sylfae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 xml:space="preserve">დასკვნით გამოცდაზე სტუდენტის მიერ მიღებული </w:t>
            </w:r>
            <w:r w:rsidRPr="00332B98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t xml:space="preserve">შეფასების მინიმალური ზღვარი განისაზღვრება  15 </w:t>
            </w:r>
            <w:r w:rsidRPr="00332B98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ru-RU"/>
              </w:rPr>
              <w:lastRenderedPageBreak/>
              <w:t>ქულით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CD0C1B" w:rsidRPr="00332B98" w:rsidRDefault="00CD0C1B" w:rsidP="00332B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4" w:hanging="142"/>
              <w:jc w:val="both"/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</w:pPr>
            <w:r w:rsidRPr="00332B98">
              <w:rPr>
                <w:rFonts w:ascii="Sylfaen" w:eastAsia="Calibri" w:hAnsi="Sylfaen" w:cs="Sylfaen"/>
                <w:noProof/>
                <w:sz w:val="20"/>
                <w:szCs w:val="20"/>
                <w:lang w:val="ru-RU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9D7832" w:rsidRPr="00332B98" w:rsidRDefault="00CD0C1B" w:rsidP="00332B98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Cs/>
                <w:noProof/>
                <w:sz w:val="20"/>
                <w:szCs w:val="20"/>
                <w:lang w:val="ru-RU"/>
              </w:rPr>
              <w:t>შეფასების კრიტერიუმები იხ. კონკრეტული კურსის სილაბუსებში.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32B98" w:rsidRDefault="005C6B20" w:rsidP="00332B9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კურსდამთავრებული შეძლებს სამეცნიერო მოღვაწეობის გაგრძელებას დოქტორანტურაში, სამეცნიერო მოღვაწეობას სამეცნიე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რ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ო-კვლევით დაწესებულებებში, პედაგოგიურ მოღვაწეობას შესაბამისი პროფილით, ანალიტიკურ საქმიანობას სამთავრობო დაწესებულებებსა და არასამთავრობო სექტორში, საგამომცემლო სფეროში, სარეკლამო სააგენტოებში, პრესცენტრებში, რედაქციებში, რადიოსა და ტელევიზიაში, საერთაშორისო ორგანი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ზ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>აციებსა და ფონდებში, კულტურის სფეროში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332B98" w:rsidRDefault="009D7832" w:rsidP="00332B98">
            <w:pPr>
              <w:spacing w:after="0" w:line="240" w:lineRule="auto"/>
              <w:rPr>
                <w:rFonts w:ascii="Sylfaen" w:hAnsi="Sylfaen" w:cs="Sylfaen"/>
                <w:b/>
                <w:bCs/>
                <w:color w:val="943634" w:themeColor="accent2" w:themeShade="BF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9D7832" w:rsidRPr="00332B98" w:rsidTr="00332B98">
        <w:tc>
          <w:tcPr>
            <w:tcW w:w="106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62C4" w:rsidRPr="00332B98" w:rsidRDefault="00E262C4" w:rsidP="00332B98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es-ES_tradnl"/>
              </w:rPr>
            </w:pP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პროგრამის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რეალიზაცია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ხდება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აწსუ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მაღალკვალიფიციური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აკადემიური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პერსონალის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მეშვეობით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სასწავლო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კურსების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პროფილის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შესაბამისად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.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საგანმანათლებლო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პროგრამის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სასწავლო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პროცესი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უზრუნველყოფილია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კეთილმოწყობილი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კაბინეტებით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,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აუდიტორიებით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,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კომპიუტერული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ცენტრებით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; 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სასწავლო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>-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მეთოდური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მასალებით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: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შესაბამისი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საბიბლიოთეკო</w:t>
            </w:r>
            <w:r w:rsidR="00E95F4E"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ფონდებით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 (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წიგნადი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 xml:space="preserve">, </w:t>
            </w:r>
            <w:r w:rsidRPr="00332B98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ციფრული</w:t>
            </w:r>
            <w:r w:rsidRPr="00332B98">
              <w:rPr>
                <w:rFonts w:ascii="Sylfaen" w:eastAsia="Arial Unicode MS" w:hAnsi="Sylfaen"/>
                <w:sz w:val="20"/>
                <w:szCs w:val="20"/>
                <w:lang w:val="ka-GE"/>
              </w:rPr>
              <w:t>).</w:t>
            </w:r>
          </w:p>
          <w:p w:rsidR="00E262C4" w:rsidRPr="00332B98" w:rsidRDefault="00E262C4" w:rsidP="00332B9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საკუთრივ ფრანგული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ფილოლოგიის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მიმართულებას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აქვს მდიდარი მ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ტერიალური რესურსი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ბაკალავრიატის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საგანმანათლებლო პროგრამის განსახორციელებლად. </w:t>
            </w: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კერძოდ,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13696" w:rsidRPr="00332B9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/>
                <w:sz w:val="20"/>
                <w:szCs w:val="20"/>
                <w:lang w:val="de-DE"/>
              </w:rPr>
              <w:t>კომპიუტერი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ტელევიზორი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ვიდეომაგნიტოფონი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3 აუდიომაგნიტოფონი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CD PLAYER</w:t>
            </w:r>
          </w:p>
          <w:p w:rsidR="00E262C4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სატელიტის მიმღები</w:t>
            </w:r>
          </w:p>
          <w:p w:rsidR="009D7832" w:rsidRPr="00332B98" w:rsidRDefault="00E262C4" w:rsidP="00332B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332B98">
              <w:rPr>
                <w:rFonts w:ascii="Sylfaen" w:hAnsi="Sylfaen" w:cs="Sylfaen"/>
                <w:sz w:val="20"/>
                <w:szCs w:val="20"/>
                <w:lang w:val="af-ZA"/>
              </w:rPr>
              <w:t>კასეტები</w:t>
            </w:r>
            <w:r w:rsidRPr="00332B98">
              <w:rPr>
                <w:rFonts w:ascii="Sylfaen" w:hAnsi="Sylfaen"/>
                <w:sz w:val="20"/>
                <w:szCs w:val="20"/>
                <w:lang w:val="af-ZA"/>
              </w:rPr>
              <w:t xml:space="preserve"> (ვიდეოთეკა)</w:t>
            </w:r>
          </w:p>
        </w:tc>
      </w:tr>
    </w:tbl>
    <w:p w:rsidR="00513696" w:rsidRDefault="00513696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Pr="00332B98" w:rsidRDefault="00332B98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</w:rPr>
      </w:pPr>
    </w:p>
    <w:p w:rsidR="00332B98" w:rsidRDefault="00332B98" w:rsidP="00332B98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  <w:sectPr w:rsidR="00332B98" w:rsidSect="00332B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BA6791" w:rsidRPr="00332B98" w:rsidRDefault="00BA6791" w:rsidP="00332B98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332B98">
        <w:rPr>
          <w:rFonts w:ascii="Sylfaen" w:hAnsi="Sylfaen"/>
          <w:sz w:val="20"/>
          <w:szCs w:val="20"/>
          <w:lang w:val="ka-GE"/>
        </w:rPr>
        <w:lastRenderedPageBreak/>
        <w:t>დანართი 1</w:t>
      </w:r>
    </w:p>
    <w:p w:rsidR="00BA6791" w:rsidRPr="00332B98" w:rsidRDefault="00BA6791" w:rsidP="00332B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332B98">
        <w:rPr>
          <w:rFonts w:ascii="Sylfaen" w:hAnsi="Sylfaen"/>
          <w:b/>
          <w:noProof/>
          <w:sz w:val="20"/>
          <w:szCs w:val="20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791" w:rsidRPr="00332B98" w:rsidRDefault="00BA6791" w:rsidP="00332B98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</w:rPr>
      </w:pPr>
      <w:r w:rsidRPr="00332B98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  <w:r w:rsidR="00497023">
        <w:rPr>
          <w:rFonts w:ascii="Sylfaen" w:hAnsi="Sylfaen" w:cs="Sylfaen"/>
          <w:b/>
          <w:noProof/>
          <w:sz w:val="20"/>
          <w:szCs w:val="20"/>
        </w:rPr>
        <w:t>2021-20</w:t>
      </w:r>
      <w:r w:rsidR="00497023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497023">
        <w:rPr>
          <w:rFonts w:ascii="Sylfaen" w:hAnsi="Sylfaen" w:cs="Sylfaen"/>
          <w:b/>
          <w:noProof/>
          <w:sz w:val="20"/>
          <w:szCs w:val="20"/>
        </w:rPr>
        <w:t>2</w:t>
      </w:r>
    </w:p>
    <w:p w:rsidR="00BA6791" w:rsidRPr="00332B98" w:rsidRDefault="00BA6791" w:rsidP="00332B98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332B98">
        <w:rPr>
          <w:rFonts w:ascii="Sylfaen" w:hAnsi="Sylfaen" w:cs="Sylfaen"/>
          <w:b/>
          <w:sz w:val="20"/>
          <w:szCs w:val="20"/>
          <w:lang w:val="ka-GE"/>
        </w:rPr>
        <w:t>საბაკალავრო პროგრამის დასახელება: ფრანგული ენა და ლიტერატურა</w:t>
      </w:r>
    </w:p>
    <w:p w:rsidR="00BA6791" w:rsidRPr="00332B98" w:rsidRDefault="00BA6791" w:rsidP="00332B98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/>
          <w:bCs/>
          <w:noProof/>
          <w:sz w:val="20"/>
          <w:szCs w:val="20"/>
        </w:rPr>
      </w:pPr>
      <w:r w:rsidRPr="00332B98">
        <w:rPr>
          <w:rFonts w:ascii="Sylfaen" w:hAnsi="Sylfaen" w:cs="Sylfaen"/>
          <w:b/>
          <w:sz w:val="20"/>
          <w:szCs w:val="20"/>
          <w:lang w:val="ka-GE"/>
        </w:rPr>
        <w:t>მისანიჭებელი კვალიფიკაცია</w:t>
      </w:r>
      <w:r w:rsidRPr="00332B98">
        <w:rPr>
          <w:rFonts w:ascii="Sylfaen" w:hAnsi="Sylfaen" w:cs="Sylfaen"/>
          <w:b/>
          <w:sz w:val="20"/>
          <w:szCs w:val="20"/>
          <w:lang w:val="af-ZA"/>
        </w:rPr>
        <w:t xml:space="preserve">: </w:t>
      </w:r>
      <w:r w:rsidRPr="00332B98">
        <w:rPr>
          <w:rFonts w:ascii="Sylfaen" w:hAnsi="Sylfaen" w:cs="Sylfaen"/>
          <w:b/>
          <w:bCs/>
          <w:sz w:val="20"/>
          <w:szCs w:val="20"/>
          <w:lang w:val="ka-GE"/>
        </w:rPr>
        <w:t xml:space="preserve">ჰუმანიტარულ მეცნიერებათა </w:t>
      </w:r>
      <w:r w:rsidRPr="00332B98">
        <w:rPr>
          <w:rFonts w:ascii="Sylfaen" w:hAnsi="Sylfaen" w:cs="Sylfaen"/>
          <w:b/>
          <w:bCs/>
          <w:sz w:val="20"/>
          <w:szCs w:val="20"/>
          <w:lang w:val="af-ZA"/>
        </w:rPr>
        <w:t xml:space="preserve">მაგისტრი </w:t>
      </w:r>
      <w:r w:rsidRPr="00332B98">
        <w:rPr>
          <w:rFonts w:ascii="Sylfaen" w:hAnsi="Sylfaen" w:cs="Sylfaen"/>
          <w:b/>
          <w:bCs/>
          <w:sz w:val="20"/>
          <w:szCs w:val="20"/>
          <w:lang w:val="ka-GE"/>
        </w:rPr>
        <w:t>ფრანგულ ფილოლოგიაშ</w:t>
      </w:r>
      <w:bookmarkStart w:id="0" w:name="_GoBack"/>
      <w:bookmarkEnd w:id="0"/>
      <w:r w:rsidRPr="00332B98">
        <w:rPr>
          <w:rFonts w:ascii="Sylfaen" w:hAnsi="Sylfaen" w:cs="Sylfaen"/>
          <w:b/>
          <w:bCs/>
          <w:sz w:val="20"/>
          <w:szCs w:val="20"/>
          <w:lang w:val="ka-GE"/>
        </w:rPr>
        <w:t>ი</w:t>
      </w:r>
    </w:p>
    <w:p w:rsidR="00BA6791" w:rsidRPr="00332B98" w:rsidRDefault="00BA6791" w:rsidP="00332B98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0"/>
          <w:szCs w:val="20"/>
          <w:lang w:val="ka-GE"/>
        </w:rPr>
      </w:pPr>
    </w:p>
    <w:tbl>
      <w:tblPr>
        <w:tblW w:w="1384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5"/>
        <w:gridCol w:w="5044"/>
        <w:gridCol w:w="515"/>
        <w:gridCol w:w="632"/>
        <w:gridCol w:w="824"/>
        <w:gridCol w:w="973"/>
        <w:gridCol w:w="688"/>
        <w:gridCol w:w="1577"/>
        <w:gridCol w:w="444"/>
        <w:gridCol w:w="539"/>
        <w:gridCol w:w="547"/>
        <w:gridCol w:w="539"/>
        <w:gridCol w:w="17"/>
        <w:gridCol w:w="853"/>
      </w:tblGrid>
      <w:tr w:rsidR="00BA6791" w:rsidRPr="00332B98" w:rsidTr="006B5C1C">
        <w:trPr>
          <w:trHeight w:val="511"/>
          <w:tblHeader/>
        </w:trPr>
        <w:tc>
          <w:tcPr>
            <w:tcW w:w="65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4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7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87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BA6791" w:rsidRPr="00332B98" w:rsidTr="006B5C1C">
        <w:trPr>
          <w:trHeight w:val="511"/>
          <w:tblHeader/>
        </w:trPr>
        <w:tc>
          <w:tcPr>
            <w:tcW w:w="6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cantSplit/>
          <w:trHeight w:val="2014"/>
          <w:tblHeader/>
        </w:trPr>
        <w:tc>
          <w:tcPr>
            <w:tcW w:w="655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cantSplit/>
          <w:trHeight w:val="253"/>
          <w:tblHeader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192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BA6791" w:rsidRPr="00332B98" w:rsidRDefault="00BA6791" w:rsidP="00332B98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სავალდებულო კურსები</w:t>
            </w: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(65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highlight w:val="lightGray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ძირითადი უცხო ენა (ფრანგული) 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0/0/0/4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სამეცნიერო წერის საფუძვლები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Cs/>
                <w:noProof/>
                <w:sz w:val="20"/>
                <w:szCs w:val="20"/>
              </w:rPr>
              <w:t>ლინგვოსემიოტიკა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ლინგვისტური სემანტიკ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</w:rPr>
              <w:t>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თანამედროვე სინტაქსური თეორიები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კონტრასტივიკა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რომანის 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1.10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დრამის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ლირიკის ისტორიული პოეტიკა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თარგმანის თეორია და პრაქტიკა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ტექსტის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lastRenderedPageBreak/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საკურსო და სამაგისტრო ნაშრომი (35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2.1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საკურსო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 xml:space="preserve">არჩევითი კურსები - (20 </w:t>
            </w: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1 (5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ind w:left="13" w:hanging="13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ფონოლოგია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ფრანგული ენის ფრაზეოლოგია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2 (10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highlight w:val="yellow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ლინგვისტური პრაგმატიკა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სოციოლინგვისტიკა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4.3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 w:cs="Sylfaen"/>
                <w:noProof/>
                <w:sz w:val="20"/>
                <w:szCs w:val="20"/>
              </w:rPr>
              <w:t>შუა საუკუნეების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332B98">
              <w:rPr>
                <w:rFonts w:ascii="Sylfaen" w:hAnsi="Sylfaen" w:cs="Sylfaen"/>
                <w:noProof/>
                <w:sz w:val="20"/>
                <w:szCs w:val="20"/>
              </w:rPr>
              <w:t>ფრანგული ლირიკა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4.4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სპეცკურსი მწერალზე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E0000"/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13192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E0000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არჩევითი კურსი 3 (5 კრედიტი)</w:t>
            </w: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5.1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XX საუკუნის ფრანგული პოეზია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65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5.2</w:t>
            </w:r>
          </w:p>
        </w:tc>
        <w:tc>
          <w:tcPr>
            <w:tcW w:w="50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პოსტმოდერნიზმი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92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1/0/0/1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noProof/>
                <w:sz w:val="20"/>
                <w:szCs w:val="20"/>
              </w:rPr>
              <w:t>x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BA6791" w:rsidRPr="00332B98" w:rsidTr="006B5C1C">
        <w:trPr>
          <w:trHeight w:val="283"/>
        </w:trPr>
        <w:tc>
          <w:tcPr>
            <w:tcW w:w="569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332B98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6791" w:rsidRPr="00332B98" w:rsidRDefault="00BA6791" w:rsidP="00332B98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332B98" w:rsidRDefault="00332B98" w:rsidP="00332B98">
      <w:pPr>
        <w:pStyle w:val="listparagraphcxspmiddle"/>
        <w:spacing w:after="0" w:afterAutospacing="0"/>
        <w:contextualSpacing/>
        <w:jc w:val="center"/>
        <w:rPr>
          <w:rFonts w:ascii="Sylfaen" w:hAnsi="Sylfaen" w:cs="Sylfaen"/>
          <w:bCs/>
          <w:noProof/>
          <w:color w:val="FF0000"/>
          <w:sz w:val="20"/>
          <w:szCs w:val="20"/>
          <w:lang w:val="ka-GE"/>
        </w:rPr>
        <w:sectPr w:rsidR="00332B98" w:rsidSect="00332B98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5084E" w:rsidRPr="00332B98" w:rsidRDefault="0055084E" w:rsidP="00332B98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3F0F62" w:rsidRPr="00332B98" w:rsidRDefault="003F0F62" w:rsidP="00332B98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332B98" w:rsidRDefault="003F0F62" w:rsidP="00332B98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3F0F62" w:rsidRPr="00332B98" w:rsidRDefault="003F0F62" w:rsidP="00332B98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</w:p>
    <w:p w:rsidR="003F0F62" w:rsidRPr="00332B98" w:rsidRDefault="003F0F62" w:rsidP="00332B98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3F0F62" w:rsidRPr="00332B98" w:rsidSect="00332B9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B83" w:rsidRDefault="00224B83">
      <w:pPr>
        <w:spacing w:after="0" w:line="240" w:lineRule="auto"/>
      </w:pPr>
      <w:r>
        <w:separator/>
      </w:r>
    </w:p>
  </w:endnote>
  <w:endnote w:type="continuationSeparator" w:id="0">
    <w:p w:rsidR="00224B83" w:rsidRDefault="0022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1B" w:rsidRDefault="00FA443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0C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C1B" w:rsidRDefault="00CD0C1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1B" w:rsidRDefault="00FA4433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0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023">
      <w:rPr>
        <w:rStyle w:val="PageNumber"/>
        <w:noProof/>
      </w:rPr>
      <w:t>5</w:t>
    </w:r>
    <w:r>
      <w:rPr>
        <w:rStyle w:val="PageNumber"/>
      </w:rPr>
      <w:fldChar w:fldCharType="end"/>
    </w:r>
  </w:p>
  <w:p w:rsidR="00CD0C1B" w:rsidRDefault="00CD0C1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1B" w:rsidRDefault="00CD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B83" w:rsidRDefault="00224B83">
      <w:pPr>
        <w:spacing w:after="0" w:line="240" w:lineRule="auto"/>
      </w:pPr>
      <w:r>
        <w:separator/>
      </w:r>
    </w:p>
  </w:footnote>
  <w:footnote w:type="continuationSeparator" w:id="0">
    <w:p w:rsidR="00224B83" w:rsidRDefault="0022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1B" w:rsidRDefault="00CD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1B" w:rsidRDefault="00CD0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1B" w:rsidRDefault="00CD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40AD"/>
    <w:multiLevelType w:val="hybridMultilevel"/>
    <w:tmpl w:val="7250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257"/>
    <w:multiLevelType w:val="hybridMultilevel"/>
    <w:tmpl w:val="62D88BFC"/>
    <w:lvl w:ilvl="0" w:tplc="857675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65D3D1E"/>
    <w:multiLevelType w:val="hybridMultilevel"/>
    <w:tmpl w:val="16CCF450"/>
    <w:lvl w:ilvl="0" w:tplc="170C711E">
      <w:start w:val="1"/>
      <w:numFmt w:val="decimal"/>
      <w:lvlText w:val="%1)"/>
      <w:lvlJc w:val="left"/>
      <w:pPr>
        <w:ind w:left="108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86408"/>
    <w:multiLevelType w:val="hybridMultilevel"/>
    <w:tmpl w:val="AE6E5138"/>
    <w:lvl w:ilvl="0" w:tplc="2F52E4E2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B2C6D"/>
    <w:multiLevelType w:val="hybridMultilevel"/>
    <w:tmpl w:val="C8ACE912"/>
    <w:lvl w:ilvl="0" w:tplc="EBA25C54">
      <w:start w:val="1"/>
      <w:numFmt w:val="decimal"/>
      <w:lvlText w:val="%1)"/>
      <w:lvlJc w:val="left"/>
      <w:pPr>
        <w:ind w:left="720" w:hanging="360"/>
      </w:pPr>
      <w:rPr>
        <w:rFonts w:ascii="Sylfaen" w:hAnsi="Sylfaen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C67"/>
    <w:multiLevelType w:val="hybridMultilevel"/>
    <w:tmpl w:val="39C46C64"/>
    <w:lvl w:ilvl="0" w:tplc="CA081D44">
      <w:start w:val="1"/>
      <w:numFmt w:val="decimal"/>
      <w:lvlText w:val="%1)"/>
      <w:lvlJc w:val="left"/>
      <w:pPr>
        <w:ind w:left="1254" w:hanging="825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24F44B9E"/>
    <w:multiLevelType w:val="hybridMultilevel"/>
    <w:tmpl w:val="F290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2264D"/>
    <w:multiLevelType w:val="hybridMultilevel"/>
    <w:tmpl w:val="0D28143E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16C6"/>
    <w:multiLevelType w:val="hybridMultilevel"/>
    <w:tmpl w:val="BF7C7ECC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32795"/>
    <w:multiLevelType w:val="hybridMultilevel"/>
    <w:tmpl w:val="EE2E0766"/>
    <w:lvl w:ilvl="0" w:tplc="3C1EB91E">
      <w:start w:val="1"/>
      <w:numFmt w:val="decimal"/>
      <w:lvlText w:val="%1)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F24BE"/>
    <w:multiLevelType w:val="hybridMultilevel"/>
    <w:tmpl w:val="72B875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C3F1C"/>
    <w:multiLevelType w:val="hybridMultilevel"/>
    <w:tmpl w:val="510A3C22"/>
    <w:lvl w:ilvl="0" w:tplc="ABF0C88C">
      <w:start w:val="2"/>
      <w:numFmt w:val="decimal"/>
      <w:lvlText w:val="%1)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E118EB"/>
    <w:multiLevelType w:val="hybridMultilevel"/>
    <w:tmpl w:val="778224C2"/>
    <w:lvl w:ilvl="0" w:tplc="B40264CC">
      <w:start w:val="1"/>
      <w:numFmt w:val="decimal"/>
      <w:lvlText w:val="%1)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6A1328"/>
    <w:multiLevelType w:val="hybridMultilevel"/>
    <w:tmpl w:val="91D4F350"/>
    <w:lvl w:ilvl="0" w:tplc="0F42C12A">
      <w:start w:val="1"/>
      <w:numFmt w:val="decimal"/>
      <w:lvlText w:val="%1)"/>
      <w:lvlJc w:val="left"/>
      <w:pPr>
        <w:ind w:left="1068" w:hanging="360"/>
      </w:pPr>
      <w:rPr>
        <w:rFonts w:ascii="Sylfaen" w:eastAsiaTheme="minorHAnsi" w:hAnsi="Sylfae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531BE"/>
    <w:multiLevelType w:val="hybridMultilevel"/>
    <w:tmpl w:val="11F4F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32423"/>
    <w:multiLevelType w:val="hybridMultilevel"/>
    <w:tmpl w:val="385A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07E4C"/>
    <w:multiLevelType w:val="hybridMultilevel"/>
    <w:tmpl w:val="07E096C6"/>
    <w:lvl w:ilvl="0" w:tplc="971237A2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67090D53"/>
    <w:multiLevelType w:val="hybridMultilevel"/>
    <w:tmpl w:val="443AE08A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0F4FDD"/>
    <w:multiLevelType w:val="hybridMultilevel"/>
    <w:tmpl w:val="10BEB7F8"/>
    <w:lvl w:ilvl="0" w:tplc="1638CD9E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136CE"/>
    <w:multiLevelType w:val="hybridMultilevel"/>
    <w:tmpl w:val="A17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71CE0"/>
    <w:multiLevelType w:val="hybridMultilevel"/>
    <w:tmpl w:val="D820CF28"/>
    <w:lvl w:ilvl="0" w:tplc="97123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3"/>
  </w:num>
  <w:num w:numId="5">
    <w:abstractNumId w:val="16"/>
  </w:num>
  <w:num w:numId="6">
    <w:abstractNumId w:val="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2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 w:numId="23">
    <w:abstractNumId w:val="17"/>
  </w:num>
  <w:num w:numId="24">
    <w:abstractNumId w:val="21"/>
  </w:num>
  <w:num w:numId="25">
    <w:abstractNumId w:val="9"/>
  </w:num>
  <w:num w:numId="26">
    <w:abstractNumId w:val="27"/>
  </w:num>
  <w:num w:numId="27">
    <w:abstractNumId w:val="20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65076"/>
    <w:rsid w:val="00065B67"/>
    <w:rsid w:val="000968C6"/>
    <w:rsid w:val="000B6286"/>
    <w:rsid w:val="000D762D"/>
    <w:rsid w:val="00152E82"/>
    <w:rsid w:val="0015476C"/>
    <w:rsid w:val="00156C23"/>
    <w:rsid w:val="001B70A9"/>
    <w:rsid w:val="001C7F8B"/>
    <w:rsid w:val="001E7F0C"/>
    <w:rsid w:val="001F0B09"/>
    <w:rsid w:val="00203227"/>
    <w:rsid w:val="00207457"/>
    <w:rsid w:val="002076EA"/>
    <w:rsid w:val="00210A9B"/>
    <w:rsid w:val="00213B1A"/>
    <w:rsid w:val="002232BE"/>
    <w:rsid w:val="00224B83"/>
    <w:rsid w:val="00237E38"/>
    <w:rsid w:val="002575F6"/>
    <w:rsid w:val="00260FCC"/>
    <w:rsid w:val="00274F96"/>
    <w:rsid w:val="0028494A"/>
    <w:rsid w:val="00295F5C"/>
    <w:rsid w:val="002A5F69"/>
    <w:rsid w:val="002B5D60"/>
    <w:rsid w:val="002C599F"/>
    <w:rsid w:val="002E0FDC"/>
    <w:rsid w:val="002F312E"/>
    <w:rsid w:val="00324C79"/>
    <w:rsid w:val="00332B98"/>
    <w:rsid w:val="0034158B"/>
    <w:rsid w:val="003434C9"/>
    <w:rsid w:val="003631C2"/>
    <w:rsid w:val="003821D3"/>
    <w:rsid w:val="00390660"/>
    <w:rsid w:val="0039089F"/>
    <w:rsid w:val="003958D7"/>
    <w:rsid w:val="003B0D87"/>
    <w:rsid w:val="003B1D07"/>
    <w:rsid w:val="003B5CA1"/>
    <w:rsid w:val="003B5FF9"/>
    <w:rsid w:val="003C4793"/>
    <w:rsid w:val="003F0F62"/>
    <w:rsid w:val="003F3E1E"/>
    <w:rsid w:val="00435061"/>
    <w:rsid w:val="00443D19"/>
    <w:rsid w:val="00457888"/>
    <w:rsid w:val="00473442"/>
    <w:rsid w:val="00497023"/>
    <w:rsid w:val="004A0325"/>
    <w:rsid w:val="004A3F8B"/>
    <w:rsid w:val="004E254C"/>
    <w:rsid w:val="004F4F54"/>
    <w:rsid w:val="00502279"/>
    <w:rsid w:val="00513696"/>
    <w:rsid w:val="0052202E"/>
    <w:rsid w:val="00544010"/>
    <w:rsid w:val="0055084E"/>
    <w:rsid w:val="0057030B"/>
    <w:rsid w:val="005A35DA"/>
    <w:rsid w:val="005C6471"/>
    <w:rsid w:val="005C6B20"/>
    <w:rsid w:val="005E256E"/>
    <w:rsid w:val="005E499F"/>
    <w:rsid w:val="005E5A38"/>
    <w:rsid w:val="00625F91"/>
    <w:rsid w:val="00632EF8"/>
    <w:rsid w:val="00640209"/>
    <w:rsid w:val="00640CD1"/>
    <w:rsid w:val="00644B91"/>
    <w:rsid w:val="006463CE"/>
    <w:rsid w:val="00671403"/>
    <w:rsid w:val="006777CE"/>
    <w:rsid w:val="00683DE4"/>
    <w:rsid w:val="006858BC"/>
    <w:rsid w:val="00694B3D"/>
    <w:rsid w:val="006B65B6"/>
    <w:rsid w:val="006B66B5"/>
    <w:rsid w:val="006C73F5"/>
    <w:rsid w:val="006E682B"/>
    <w:rsid w:val="006F70FC"/>
    <w:rsid w:val="00703EB0"/>
    <w:rsid w:val="00705E57"/>
    <w:rsid w:val="00707342"/>
    <w:rsid w:val="007234BD"/>
    <w:rsid w:val="00727C45"/>
    <w:rsid w:val="00741BA1"/>
    <w:rsid w:val="00753CD5"/>
    <w:rsid w:val="00761D47"/>
    <w:rsid w:val="007A7194"/>
    <w:rsid w:val="007C3CA2"/>
    <w:rsid w:val="007C45FC"/>
    <w:rsid w:val="007F5E39"/>
    <w:rsid w:val="00811863"/>
    <w:rsid w:val="008455E7"/>
    <w:rsid w:val="008529E7"/>
    <w:rsid w:val="00880FA1"/>
    <w:rsid w:val="008A126D"/>
    <w:rsid w:val="008D0F41"/>
    <w:rsid w:val="008D2AC4"/>
    <w:rsid w:val="008F7D5B"/>
    <w:rsid w:val="0091219A"/>
    <w:rsid w:val="009167D9"/>
    <w:rsid w:val="00920E56"/>
    <w:rsid w:val="00924184"/>
    <w:rsid w:val="009272D5"/>
    <w:rsid w:val="00935093"/>
    <w:rsid w:val="00947705"/>
    <w:rsid w:val="00980FC2"/>
    <w:rsid w:val="00994781"/>
    <w:rsid w:val="0099743A"/>
    <w:rsid w:val="009A4F9A"/>
    <w:rsid w:val="009A7871"/>
    <w:rsid w:val="009B03C5"/>
    <w:rsid w:val="009B715E"/>
    <w:rsid w:val="009C041D"/>
    <w:rsid w:val="009D7832"/>
    <w:rsid w:val="009F62BB"/>
    <w:rsid w:val="00A0621B"/>
    <w:rsid w:val="00A22B69"/>
    <w:rsid w:val="00A300E6"/>
    <w:rsid w:val="00A3421A"/>
    <w:rsid w:val="00A577F9"/>
    <w:rsid w:val="00A64BBA"/>
    <w:rsid w:val="00A85E0D"/>
    <w:rsid w:val="00AB502F"/>
    <w:rsid w:val="00AE243A"/>
    <w:rsid w:val="00AF05DC"/>
    <w:rsid w:val="00B06C22"/>
    <w:rsid w:val="00B11597"/>
    <w:rsid w:val="00B2525E"/>
    <w:rsid w:val="00B42CFD"/>
    <w:rsid w:val="00B517E5"/>
    <w:rsid w:val="00B5576B"/>
    <w:rsid w:val="00B57227"/>
    <w:rsid w:val="00B60F0A"/>
    <w:rsid w:val="00B62C91"/>
    <w:rsid w:val="00B6669E"/>
    <w:rsid w:val="00B70EBC"/>
    <w:rsid w:val="00BA6791"/>
    <w:rsid w:val="00BA7C58"/>
    <w:rsid w:val="00BC26DA"/>
    <w:rsid w:val="00BC4E89"/>
    <w:rsid w:val="00BD2848"/>
    <w:rsid w:val="00C24552"/>
    <w:rsid w:val="00C276BC"/>
    <w:rsid w:val="00C30287"/>
    <w:rsid w:val="00C307BD"/>
    <w:rsid w:val="00C772B9"/>
    <w:rsid w:val="00C87D28"/>
    <w:rsid w:val="00C9704E"/>
    <w:rsid w:val="00CC1092"/>
    <w:rsid w:val="00CD0C1B"/>
    <w:rsid w:val="00CD7B2A"/>
    <w:rsid w:val="00CE1A78"/>
    <w:rsid w:val="00CE4385"/>
    <w:rsid w:val="00CF121A"/>
    <w:rsid w:val="00CF333C"/>
    <w:rsid w:val="00CF5DB7"/>
    <w:rsid w:val="00D11F71"/>
    <w:rsid w:val="00D70DD4"/>
    <w:rsid w:val="00D77FA2"/>
    <w:rsid w:val="00D80F9F"/>
    <w:rsid w:val="00D9342D"/>
    <w:rsid w:val="00DA4F5F"/>
    <w:rsid w:val="00DA6A6F"/>
    <w:rsid w:val="00DE6A80"/>
    <w:rsid w:val="00DF0D61"/>
    <w:rsid w:val="00E25391"/>
    <w:rsid w:val="00E262C4"/>
    <w:rsid w:val="00E46429"/>
    <w:rsid w:val="00E53D22"/>
    <w:rsid w:val="00E862CA"/>
    <w:rsid w:val="00E95F4E"/>
    <w:rsid w:val="00EF15B2"/>
    <w:rsid w:val="00EF1B2C"/>
    <w:rsid w:val="00EF2EAB"/>
    <w:rsid w:val="00F02C1F"/>
    <w:rsid w:val="00F07676"/>
    <w:rsid w:val="00F12D10"/>
    <w:rsid w:val="00F41E91"/>
    <w:rsid w:val="00F57E82"/>
    <w:rsid w:val="00F62EE6"/>
    <w:rsid w:val="00F71A0A"/>
    <w:rsid w:val="00FA261A"/>
    <w:rsid w:val="00FA4433"/>
    <w:rsid w:val="00FA7E5D"/>
    <w:rsid w:val="00FF6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E86E5-1B3A-49BE-8D37-A54C6BF0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customStyle="1" w:styleId="listparagraphcxspmiddle">
    <w:name w:val="listparagraphcxspmiddle"/>
    <w:basedOn w:val="Normal"/>
    <w:rsid w:val="0045788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C2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E2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rab.archva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30C3-9A74-40C8-B1EC-B2728E2B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admin</cp:lastModifiedBy>
  <cp:revision>81</cp:revision>
  <cp:lastPrinted>2015-04-02T06:03:00Z</cp:lastPrinted>
  <dcterms:created xsi:type="dcterms:W3CDTF">2015-11-13T06:48:00Z</dcterms:created>
  <dcterms:modified xsi:type="dcterms:W3CDTF">2021-09-20T12:25:00Z</dcterms:modified>
</cp:coreProperties>
</file>